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AF2" w14:textId="38524663" w:rsidR="00C70CB1" w:rsidRPr="00C70CB1" w:rsidRDefault="00C70CB1" w:rsidP="00C70CB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70CB1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ІСТОРІЯ АНТИЧНОЇ ФІЛОСОФІЇ</w:t>
      </w:r>
    </w:p>
    <w:p w14:paraId="5525A795" w14:textId="77777777" w:rsidR="00C70CB1" w:rsidRPr="00C70CB1" w:rsidRDefault="00C70CB1" w:rsidP="00C70C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C93D0C" w14:textId="06390947" w:rsidR="00C76097" w:rsidRPr="00C70CB1" w:rsidRDefault="00C70CB1" w:rsidP="00C70C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CB1">
        <w:rPr>
          <w:rFonts w:ascii="Times New Roman" w:hAnsi="Times New Roman" w:cs="Times New Roman"/>
          <w:sz w:val="28"/>
          <w:szCs w:val="28"/>
        </w:rPr>
        <w:t>Антична філософія стала першою в історії культури спробою відійти від міфологічного уявлення про світ й осягнути через особисте розумування універсальне джерело норм, що керують метафізичним і фізичним буттям (нус, логос). Як новий тип світогляду і форма знання філософія вперше чітко відокремилася від ін. сфер діяльності (на відміну від традиції Сходу); була відкритою і доступною для всіх вільних громадян; розвивалася як діалог різних думок і позицій, напрямів і шкіл. В її межах формуються майже всі галузі філософського знання (онтологія, метафізика, логіка, гносеологія тощо), а також низка природознавчих та гуманітарних наук, які згодом отримають самостійний статус. Були вироблені основні поняття і категорії, які сформували понятійний апарат європейської філософської і наукової думки.</w:t>
      </w:r>
    </w:p>
    <w:sectPr w:rsidR="00C76097" w:rsidRPr="00C7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B1"/>
    <w:rsid w:val="003D7999"/>
    <w:rsid w:val="00917FA9"/>
    <w:rsid w:val="00C70CB1"/>
    <w:rsid w:val="00C76097"/>
    <w:rsid w:val="00E572A6"/>
    <w:rsid w:val="00F50983"/>
    <w:rsid w:val="00F8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F9EC"/>
  <w15:chartTrackingRefBased/>
  <w15:docId w15:val="{92C1E013-2E3B-4CA7-B210-1A8E2688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2026-04-02T19:50:00Z</dcterms:created>
  <dcterms:modified xsi:type="dcterms:W3CDTF">2026-04-02T19:50:00Z</dcterms:modified>
</cp:coreProperties>
</file>